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23" w:rsidRDefault="0048249A" w:rsidP="00710BCA">
      <w:pPr>
        <w:pStyle w:val="Titolo"/>
        <w:pageBreakBefore/>
        <w:spacing w:before="0" w:after="0" w:line="240" w:lineRule="auto"/>
        <w:rPr>
          <w:rFonts w:ascii="Garamond" w:hAnsi="Garamond"/>
          <w:sz w:val="24"/>
          <w:szCs w:val="24"/>
        </w:rPr>
      </w:pPr>
      <w:r w:rsidRPr="009C6FAC">
        <w:rPr>
          <w:rFonts w:ascii="Garamond" w:hAnsi="Garamond"/>
          <w:sz w:val="24"/>
          <w:szCs w:val="24"/>
        </w:rPr>
        <w:t xml:space="preserve">Scheda di sintesi sulla rilevazione degli OIV o </w:t>
      </w:r>
      <w:r w:rsidR="009A5646">
        <w:rPr>
          <w:rFonts w:ascii="Garamond" w:hAnsi="Garamond"/>
          <w:sz w:val="24"/>
          <w:szCs w:val="24"/>
        </w:rPr>
        <w:t>organismi con funzioni analoghe</w:t>
      </w:r>
    </w:p>
    <w:p w:rsidR="00AD1CA2" w:rsidRDefault="00AD1CA2" w:rsidP="00710BCA">
      <w:pPr>
        <w:pStyle w:val="Paragrafoelenco"/>
        <w:spacing w:after="0" w:line="240" w:lineRule="auto"/>
        <w:ind w:left="0" w:firstLine="0"/>
        <w:rPr>
          <w:rFonts w:ascii="Garamond" w:hAnsi="Garamond"/>
          <w:b/>
          <w:i/>
        </w:rPr>
      </w:pPr>
    </w:p>
    <w:p w:rsidR="00C27B23" w:rsidRPr="009C6FAC" w:rsidRDefault="0048249A" w:rsidP="002B6CCC">
      <w:pPr>
        <w:pStyle w:val="Paragrafoelenco"/>
        <w:spacing w:after="0" w:line="360" w:lineRule="auto"/>
        <w:ind w:left="0" w:firstLine="0"/>
        <w:rPr>
          <w:rFonts w:ascii="Garamond" w:hAnsi="Garamond"/>
          <w:b/>
          <w:i/>
        </w:rPr>
      </w:pPr>
      <w:r w:rsidRPr="009C6FAC">
        <w:rPr>
          <w:rFonts w:ascii="Garamond" w:hAnsi="Garamond"/>
          <w:b/>
          <w:i/>
        </w:rPr>
        <w:t>Data di svolgimento della rilevazione</w:t>
      </w:r>
    </w:p>
    <w:p w:rsidR="006D5F68" w:rsidRPr="009C6FAC" w:rsidRDefault="00195D3E" w:rsidP="002B6CCC">
      <w:pPr>
        <w:pStyle w:val="Paragrafoelenco"/>
        <w:spacing w:after="0" w:line="360" w:lineRule="auto"/>
        <w:ind w:left="0" w:firstLine="0"/>
        <w:rPr>
          <w:rFonts w:ascii="Garamond" w:hAnsi="Garamond"/>
          <w:u w:val="single"/>
        </w:rPr>
      </w:pPr>
      <w:r>
        <w:rPr>
          <w:rFonts w:ascii="Garamond" w:hAnsi="Garamond"/>
        </w:rPr>
        <w:t>Una prima</w:t>
      </w:r>
      <w:r w:rsidR="006D5F68" w:rsidRPr="00FC7906">
        <w:rPr>
          <w:rFonts w:ascii="Garamond" w:hAnsi="Garamond"/>
        </w:rPr>
        <w:t xml:space="preserve"> rilevazione</w:t>
      </w:r>
      <w:r w:rsidR="006D5F68">
        <w:rPr>
          <w:rFonts w:ascii="Garamond" w:hAnsi="Garamond"/>
        </w:rPr>
        <w:t xml:space="preserve"> è avvenuta dal </w:t>
      </w:r>
      <w:r w:rsidR="00CB1D76">
        <w:rPr>
          <w:rFonts w:ascii="Garamond" w:hAnsi="Garamond"/>
        </w:rPr>
        <w:t>2</w:t>
      </w:r>
      <w:r w:rsidR="001D59F9">
        <w:rPr>
          <w:rFonts w:ascii="Garamond" w:hAnsi="Garamond"/>
        </w:rPr>
        <w:t>5</w:t>
      </w:r>
      <w:r w:rsidR="006D5F68">
        <w:rPr>
          <w:rFonts w:ascii="Garamond" w:hAnsi="Garamond"/>
        </w:rPr>
        <w:t>/0</w:t>
      </w:r>
      <w:r w:rsidR="00CB1D76">
        <w:rPr>
          <w:rFonts w:ascii="Garamond" w:hAnsi="Garamond"/>
        </w:rPr>
        <w:t>5</w:t>
      </w:r>
      <w:r w:rsidR="006D5F68">
        <w:rPr>
          <w:rFonts w:ascii="Garamond" w:hAnsi="Garamond"/>
        </w:rPr>
        <w:t>/202</w:t>
      </w:r>
      <w:r w:rsidR="001D59F9">
        <w:rPr>
          <w:rFonts w:ascii="Garamond" w:hAnsi="Garamond"/>
        </w:rPr>
        <w:t>2</w:t>
      </w:r>
      <w:r w:rsidR="006D5F68">
        <w:rPr>
          <w:rFonts w:ascii="Garamond" w:hAnsi="Garamond"/>
        </w:rPr>
        <w:t xml:space="preserve"> al </w:t>
      </w:r>
      <w:r w:rsidR="001D59F9">
        <w:rPr>
          <w:rFonts w:ascii="Garamond" w:hAnsi="Garamond"/>
        </w:rPr>
        <w:t>31</w:t>
      </w:r>
      <w:r w:rsidR="006D5F68">
        <w:rPr>
          <w:rFonts w:ascii="Garamond" w:hAnsi="Garamond"/>
        </w:rPr>
        <w:t>/0</w:t>
      </w:r>
      <w:r w:rsidR="00CB1D76">
        <w:rPr>
          <w:rFonts w:ascii="Garamond" w:hAnsi="Garamond"/>
        </w:rPr>
        <w:t>5</w:t>
      </w:r>
      <w:r w:rsidR="006D5F68">
        <w:rPr>
          <w:rFonts w:ascii="Garamond" w:hAnsi="Garamond"/>
        </w:rPr>
        <w:t>/202</w:t>
      </w:r>
      <w:r w:rsidR="001D59F9">
        <w:rPr>
          <w:rFonts w:ascii="Garamond" w:hAnsi="Garamond"/>
        </w:rPr>
        <w:t>2</w:t>
      </w:r>
      <w:r w:rsidR="006D5F68" w:rsidRPr="00FC7906">
        <w:rPr>
          <w:rFonts w:ascii="Garamond" w:hAnsi="Garamond"/>
        </w:rPr>
        <w:t>.</w:t>
      </w:r>
      <w:r>
        <w:rPr>
          <w:rFonts w:ascii="Garamond" w:hAnsi="Garamond"/>
        </w:rPr>
        <w:t xml:space="preserve"> La verifica finale in data </w:t>
      </w:r>
      <w:r w:rsidR="001D59F9">
        <w:rPr>
          <w:rFonts w:ascii="Garamond" w:hAnsi="Garamond"/>
        </w:rPr>
        <w:t>13</w:t>
      </w:r>
      <w:r>
        <w:rPr>
          <w:rFonts w:ascii="Garamond" w:hAnsi="Garamond"/>
        </w:rPr>
        <w:t>/06/202</w:t>
      </w:r>
      <w:r w:rsidR="001D59F9">
        <w:rPr>
          <w:rFonts w:ascii="Garamond" w:hAnsi="Garamond"/>
        </w:rPr>
        <w:t>2</w:t>
      </w:r>
      <w:r>
        <w:rPr>
          <w:rFonts w:ascii="Garamond" w:hAnsi="Garamond"/>
        </w:rPr>
        <w:t>.</w:t>
      </w:r>
    </w:p>
    <w:p w:rsidR="00AD1CA2" w:rsidRDefault="00AD1CA2" w:rsidP="002B6CCC">
      <w:pPr>
        <w:pStyle w:val="Paragrafoelenco"/>
        <w:spacing w:after="0" w:line="360" w:lineRule="auto"/>
        <w:ind w:left="0" w:firstLine="0"/>
        <w:rPr>
          <w:rFonts w:ascii="Garamond" w:hAnsi="Garamond"/>
          <w:b/>
          <w:i/>
        </w:rPr>
      </w:pPr>
    </w:p>
    <w:p w:rsidR="00C27B23" w:rsidRPr="009C6FAC" w:rsidRDefault="0048249A" w:rsidP="002B6CCC">
      <w:pPr>
        <w:pStyle w:val="Paragrafoelenco"/>
        <w:spacing w:after="0" w:line="360" w:lineRule="auto"/>
        <w:ind w:left="0" w:firstLine="0"/>
        <w:rPr>
          <w:rFonts w:ascii="Garamond" w:hAnsi="Garamond"/>
          <w:b/>
          <w:i/>
        </w:rPr>
      </w:pPr>
      <w:r w:rsidRPr="009C6FAC">
        <w:rPr>
          <w:rFonts w:ascii="Garamond" w:hAnsi="Garamond"/>
          <w:b/>
          <w:i/>
        </w:rPr>
        <w:t xml:space="preserve">Estensione della rilevazione (nel </w:t>
      </w:r>
      <w:r w:rsidR="00FC7906">
        <w:rPr>
          <w:rFonts w:ascii="Garamond" w:hAnsi="Garamond"/>
          <w:b/>
          <w:i/>
        </w:rPr>
        <w:t xml:space="preserve">solo </w:t>
      </w:r>
      <w:r w:rsidRPr="009C6FAC">
        <w:rPr>
          <w:rFonts w:ascii="Garamond" w:hAnsi="Garamond"/>
          <w:b/>
          <w:i/>
        </w:rPr>
        <w:t>caso di ammin</w:t>
      </w:r>
      <w:r w:rsidR="007A107C">
        <w:rPr>
          <w:rFonts w:ascii="Garamond" w:hAnsi="Garamond"/>
          <w:b/>
          <w:i/>
        </w:rPr>
        <w:t>istrazioni</w:t>
      </w:r>
      <w:r w:rsidR="00FC7906">
        <w:rPr>
          <w:rFonts w:ascii="Garamond" w:hAnsi="Garamond"/>
          <w:b/>
          <w:i/>
        </w:rPr>
        <w:t>/enti</w:t>
      </w:r>
      <w:r w:rsidR="007A107C">
        <w:rPr>
          <w:rFonts w:ascii="Garamond" w:hAnsi="Garamond"/>
          <w:b/>
          <w:i/>
        </w:rPr>
        <w:t xml:space="preserve"> con uffici periferici)</w:t>
      </w:r>
    </w:p>
    <w:p w:rsidR="006D5F68" w:rsidRDefault="006D5F68" w:rsidP="002B6CCC">
      <w:pPr>
        <w:pStyle w:val="Paragrafoelenco"/>
        <w:spacing w:after="0" w:line="360" w:lineRule="auto"/>
        <w:ind w:left="0" w:firstLine="0"/>
        <w:rPr>
          <w:rFonts w:ascii="Garamond" w:hAnsi="Garamond"/>
        </w:rPr>
      </w:pPr>
      <w:r w:rsidRPr="0093494D">
        <w:rPr>
          <w:rFonts w:ascii="Garamond" w:hAnsi="Garamond"/>
        </w:rPr>
        <w:t xml:space="preserve">La rilevazione è riferita alla sede principale dell’Ente e al sito con il dominio http://www.provincia.crotone.it nello specifico URL: </w:t>
      </w:r>
    </w:p>
    <w:p w:rsidR="006D5F68" w:rsidRDefault="00263A24" w:rsidP="002B6CCC">
      <w:pPr>
        <w:pStyle w:val="Paragrafoelenco"/>
        <w:spacing w:after="0" w:line="360" w:lineRule="auto"/>
        <w:ind w:left="0" w:firstLine="0"/>
        <w:rPr>
          <w:rFonts w:ascii="Garamond" w:hAnsi="Garamond"/>
        </w:rPr>
      </w:pPr>
      <w:hyperlink r:id="rId8" w:history="1">
        <w:r w:rsidR="006D5F68" w:rsidRPr="00AC562B">
          <w:rPr>
            <w:rStyle w:val="Collegamentoipertestuale"/>
            <w:rFonts w:ascii="Garamond" w:hAnsi="Garamond"/>
          </w:rPr>
          <w:t>http://www.contrasparenza.it/id5-Provincia-di-Crotone</w:t>
        </w:r>
      </w:hyperlink>
      <w:r w:rsidR="006D5F68">
        <w:rPr>
          <w:rFonts w:ascii="Garamond" w:hAnsi="Garamond"/>
        </w:rPr>
        <w:t xml:space="preserve"> per i dati fino al 31/12/2019;</w:t>
      </w:r>
    </w:p>
    <w:p w:rsidR="006D5F68" w:rsidRPr="0093494D" w:rsidRDefault="00263A24" w:rsidP="002B6CCC">
      <w:pPr>
        <w:pStyle w:val="Paragrafoelenco"/>
        <w:spacing w:after="0" w:line="360" w:lineRule="auto"/>
        <w:ind w:left="0" w:firstLine="0"/>
        <w:rPr>
          <w:rFonts w:ascii="Garamond" w:hAnsi="Garamond"/>
        </w:rPr>
      </w:pPr>
      <w:hyperlink r:id="rId9" w:history="1">
        <w:r w:rsidR="006D5F68">
          <w:rPr>
            <w:rStyle w:val="Collegamentoipertestuale"/>
          </w:rPr>
          <w:t>https://provinciacrotone.contrasparenza.it/trasparenza/</w:t>
        </w:r>
      </w:hyperlink>
      <w:r w:rsidR="006D5F68">
        <w:t xml:space="preserve"> </w:t>
      </w:r>
      <w:r w:rsidR="006D5F68" w:rsidRPr="006D5F68">
        <w:rPr>
          <w:rFonts w:ascii="Garamond" w:hAnsi="Garamond"/>
        </w:rPr>
        <w:t>per i dati dal 01/01/2020</w:t>
      </w:r>
      <w:r w:rsidR="006D5F68" w:rsidRPr="0093494D">
        <w:rPr>
          <w:rFonts w:ascii="Garamond" w:hAnsi="Garamond"/>
        </w:rPr>
        <w:t>.</w:t>
      </w:r>
    </w:p>
    <w:p w:rsidR="00AD1CA2" w:rsidRDefault="00AD1CA2" w:rsidP="002B6CCC">
      <w:pPr>
        <w:pStyle w:val="Paragrafoelenco"/>
        <w:spacing w:after="0" w:line="360" w:lineRule="auto"/>
        <w:ind w:left="0" w:firstLine="0"/>
        <w:rPr>
          <w:rFonts w:ascii="Garamond" w:hAnsi="Garamond"/>
          <w:b/>
          <w:i/>
        </w:rPr>
      </w:pPr>
    </w:p>
    <w:p w:rsidR="00C27B23" w:rsidRPr="009C6FAC" w:rsidRDefault="0048249A" w:rsidP="002B6CCC">
      <w:pPr>
        <w:pStyle w:val="Paragrafoelenco"/>
        <w:spacing w:after="0" w:line="360" w:lineRule="auto"/>
        <w:ind w:left="0" w:firstLine="0"/>
        <w:rPr>
          <w:rFonts w:ascii="Garamond" w:hAnsi="Garamond"/>
          <w:b/>
          <w:i/>
        </w:rPr>
      </w:pPr>
      <w:r w:rsidRPr="009C6FAC">
        <w:rPr>
          <w:rFonts w:ascii="Garamond" w:hAnsi="Garamond"/>
          <w:b/>
          <w:i/>
        </w:rPr>
        <w:t xml:space="preserve">Procedure e modalità seguite per la rilevazione </w:t>
      </w:r>
    </w:p>
    <w:p w:rsidR="006D5F68" w:rsidRPr="0093494D" w:rsidRDefault="006D5F68" w:rsidP="002B6CCC">
      <w:pPr>
        <w:pStyle w:val="Paragrafoelenco"/>
        <w:spacing w:after="0" w:line="360" w:lineRule="auto"/>
        <w:ind w:left="0" w:firstLine="0"/>
        <w:rPr>
          <w:rFonts w:ascii="Garamond" w:hAnsi="Garamond"/>
        </w:rPr>
      </w:pPr>
      <w:r w:rsidRPr="0093494D">
        <w:rPr>
          <w:rFonts w:ascii="Garamond" w:hAnsi="Garamond"/>
        </w:rPr>
        <w:t>La rilevazione è avvenuta mediante il raffronto tra quanto richiesto nell’allegato 2.1</w:t>
      </w:r>
      <w:r w:rsidR="00CB1D76">
        <w:rPr>
          <w:rFonts w:ascii="Garamond" w:hAnsi="Garamond"/>
        </w:rPr>
        <w:t>.a</w:t>
      </w:r>
      <w:r w:rsidRPr="0093494D">
        <w:rPr>
          <w:rFonts w:ascii="Garamond" w:hAnsi="Garamond"/>
        </w:rPr>
        <w:t xml:space="preserve"> Griglia di rilevazione della delibera n. </w:t>
      </w:r>
      <w:r>
        <w:rPr>
          <w:rFonts w:ascii="Garamond" w:hAnsi="Garamond"/>
        </w:rPr>
        <w:t>2</w:t>
      </w:r>
      <w:r w:rsidR="001D59F9">
        <w:rPr>
          <w:rFonts w:ascii="Garamond" w:hAnsi="Garamond"/>
        </w:rPr>
        <w:t>01</w:t>
      </w:r>
      <w:r w:rsidRPr="0093494D">
        <w:rPr>
          <w:rFonts w:ascii="Garamond" w:hAnsi="Garamond"/>
        </w:rPr>
        <w:t>/20</w:t>
      </w:r>
      <w:r>
        <w:rPr>
          <w:rFonts w:ascii="Garamond" w:hAnsi="Garamond"/>
        </w:rPr>
        <w:t>2</w:t>
      </w:r>
      <w:r w:rsidR="001D59F9">
        <w:rPr>
          <w:rFonts w:ascii="Garamond" w:hAnsi="Garamond"/>
        </w:rPr>
        <w:t>2</w:t>
      </w:r>
      <w:r w:rsidRPr="0093494D">
        <w:rPr>
          <w:rFonts w:ascii="Garamond" w:hAnsi="Garamond"/>
        </w:rPr>
        <w:t xml:space="preserve"> ed il sito istituzionale della Provincia di Crotone sezione “Amministrazione Trasparente”.</w:t>
      </w:r>
    </w:p>
    <w:p w:rsidR="006D5F68" w:rsidRPr="0093494D" w:rsidRDefault="006D5F68" w:rsidP="002B6CCC">
      <w:pPr>
        <w:pStyle w:val="Paragrafoelenco"/>
        <w:spacing w:after="0" w:line="360" w:lineRule="auto"/>
        <w:ind w:left="0" w:firstLine="0"/>
        <w:rPr>
          <w:rFonts w:ascii="Garamond" w:hAnsi="Garamond"/>
        </w:rPr>
      </w:pPr>
      <w:r w:rsidRPr="0093494D">
        <w:rPr>
          <w:rFonts w:ascii="Garamond" w:hAnsi="Garamond"/>
        </w:rPr>
        <w:t>Le modalità seguite sono state le seguenti:</w:t>
      </w:r>
    </w:p>
    <w:p w:rsidR="006D5F68" w:rsidRPr="0093494D" w:rsidRDefault="006D5F68" w:rsidP="002B6CCC">
      <w:pPr>
        <w:pStyle w:val="Paragrafoelenco"/>
        <w:spacing w:after="0" w:line="360" w:lineRule="auto"/>
        <w:ind w:left="851" w:hanging="425"/>
        <w:rPr>
          <w:rFonts w:ascii="Garamond" w:hAnsi="Garamond"/>
        </w:rPr>
      </w:pPr>
      <w:r w:rsidRPr="0093494D">
        <w:rPr>
          <w:rFonts w:ascii="Garamond" w:hAnsi="Garamond"/>
        </w:rPr>
        <w:t>•</w:t>
      </w:r>
      <w:r w:rsidRPr="0093494D">
        <w:rPr>
          <w:rFonts w:ascii="Garamond" w:hAnsi="Garamond"/>
        </w:rPr>
        <w:tab/>
        <w:t>esame della documentazione e delle banche dati relative ai dati oggetto di attestazione;</w:t>
      </w:r>
    </w:p>
    <w:p w:rsidR="006D5F68" w:rsidRDefault="006D5F68" w:rsidP="002B6CCC">
      <w:pPr>
        <w:pStyle w:val="Paragrafoelenco"/>
        <w:spacing w:after="0" w:line="360" w:lineRule="auto"/>
        <w:ind w:left="851" w:hanging="425"/>
        <w:rPr>
          <w:rFonts w:ascii="Garamond" w:hAnsi="Garamond"/>
        </w:rPr>
      </w:pPr>
      <w:r w:rsidRPr="0093494D">
        <w:rPr>
          <w:rFonts w:ascii="Garamond" w:hAnsi="Garamond"/>
        </w:rPr>
        <w:t>•</w:t>
      </w:r>
      <w:r w:rsidRPr="0093494D">
        <w:rPr>
          <w:rFonts w:ascii="Garamond" w:hAnsi="Garamond"/>
        </w:rPr>
        <w:tab/>
        <w:t>colloquio con il responsabile del sistema dei Controlli interni;</w:t>
      </w:r>
    </w:p>
    <w:p w:rsidR="00650DA5" w:rsidRPr="0093494D" w:rsidRDefault="00650DA5" w:rsidP="002B6CCC">
      <w:pPr>
        <w:pStyle w:val="Paragrafoelenco"/>
        <w:spacing w:after="0" w:line="360" w:lineRule="auto"/>
        <w:ind w:left="851" w:hanging="425"/>
        <w:rPr>
          <w:rFonts w:ascii="Garamond" w:hAnsi="Garamond"/>
        </w:rPr>
      </w:pPr>
      <w:r w:rsidRPr="0093494D">
        <w:rPr>
          <w:rFonts w:ascii="Garamond" w:hAnsi="Garamond"/>
        </w:rPr>
        <w:t>•</w:t>
      </w:r>
      <w:r w:rsidRPr="0093494D">
        <w:rPr>
          <w:rFonts w:ascii="Garamond" w:hAnsi="Garamond"/>
        </w:rPr>
        <w:tab/>
      </w:r>
      <w:r>
        <w:rPr>
          <w:rFonts w:ascii="Garamond" w:hAnsi="Garamond"/>
        </w:rPr>
        <w:t>colloquio con il responsabile delle partecipate;</w:t>
      </w:r>
    </w:p>
    <w:p w:rsidR="006D5F68" w:rsidRPr="0093494D" w:rsidRDefault="006D5F68" w:rsidP="002B6CCC">
      <w:pPr>
        <w:pStyle w:val="Paragrafoelenco"/>
        <w:spacing w:after="0" w:line="360" w:lineRule="auto"/>
        <w:ind w:left="851" w:hanging="425"/>
        <w:rPr>
          <w:rFonts w:ascii="Garamond" w:hAnsi="Garamond"/>
        </w:rPr>
      </w:pPr>
      <w:r w:rsidRPr="0093494D">
        <w:rPr>
          <w:rFonts w:ascii="Garamond" w:hAnsi="Garamond"/>
        </w:rPr>
        <w:t>•</w:t>
      </w:r>
      <w:r w:rsidRPr="0093494D">
        <w:rPr>
          <w:rFonts w:ascii="Garamond" w:hAnsi="Garamond"/>
        </w:rPr>
        <w:tab/>
        <w:t xml:space="preserve">comunicazioni con il responsabile della trasparenza; </w:t>
      </w:r>
    </w:p>
    <w:p w:rsidR="006D5F68" w:rsidRPr="0093494D" w:rsidRDefault="006D5F68" w:rsidP="002B6CCC">
      <w:pPr>
        <w:spacing w:after="0" w:line="360" w:lineRule="auto"/>
        <w:ind w:left="851" w:hanging="425"/>
        <w:rPr>
          <w:rFonts w:ascii="Garamond" w:hAnsi="Garamond"/>
        </w:rPr>
      </w:pPr>
      <w:r w:rsidRPr="0093494D">
        <w:rPr>
          <w:rFonts w:ascii="Garamond" w:hAnsi="Garamond"/>
        </w:rPr>
        <w:t>•</w:t>
      </w:r>
      <w:r w:rsidRPr="0093494D">
        <w:rPr>
          <w:rFonts w:ascii="Garamond" w:hAnsi="Garamond"/>
        </w:rPr>
        <w:tab/>
        <w:t>verifica sul sito istituzionale, anche attraverso l’utilizzo di supporti informatici.</w:t>
      </w:r>
    </w:p>
    <w:p w:rsidR="00650DA5" w:rsidRDefault="00650DA5" w:rsidP="002B6CCC">
      <w:pPr>
        <w:spacing w:after="0" w:line="360" w:lineRule="auto"/>
        <w:rPr>
          <w:rFonts w:ascii="Garamond" w:hAnsi="Garamond"/>
          <w:b/>
          <w:i/>
        </w:rPr>
      </w:pPr>
    </w:p>
    <w:p w:rsidR="00C27B23" w:rsidRPr="009C6FAC" w:rsidRDefault="0048249A" w:rsidP="002B6CCC">
      <w:pPr>
        <w:spacing w:after="0" w:line="360" w:lineRule="auto"/>
        <w:rPr>
          <w:rFonts w:ascii="Garamond" w:hAnsi="Garamond"/>
          <w:b/>
          <w:i/>
        </w:rPr>
      </w:pPr>
      <w:r w:rsidRPr="009C6FAC">
        <w:rPr>
          <w:rFonts w:ascii="Garamond" w:hAnsi="Garamond"/>
          <w:b/>
          <w:i/>
        </w:rPr>
        <w:t>Aspetti critici riscontrati nel corso della rilevazione</w:t>
      </w:r>
    </w:p>
    <w:p w:rsidR="001D59F9" w:rsidRDefault="001D59F9" w:rsidP="002B6CCC">
      <w:pPr>
        <w:spacing w:after="0" w:line="360" w:lineRule="auto"/>
        <w:rPr>
          <w:rFonts w:ascii="Garamond" w:hAnsi="Garamond"/>
        </w:rPr>
      </w:pPr>
      <w:r>
        <w:rPr>
          <w:rFonts w:ascii="Garamond" w:hAnsi="Garamond"/>
        </w:rPr>
        <w:t>Manca la pubblicazione dei seguenti dati:</w:t>
      </w:r>
    </w:p>
    <w:p w:rsidR="00B432C5" w:rsidRPr="00B432C5" w:rsidRDefault="00B432C5" w:rsidP="002B6CCC">
      <w:pPr>
        <w:spacing w:after="0" w:line="360" w:lineRule="auto"/>
        <w:rPr>
          <w:rFonts w:ascii="Garamond" w:hAnsi="Garamond"/>
          <w:b/>
        </w:rPr>
      </w:pPr>
      <w:r w:rsidRPr="00B432C5">
        <w:rPr>
          <w:rFonts w:ascii="Garamond" w:hAnsi="Garamond"/>
          <w:b/>
        </w:rPr>
        <w:t>Enti controllati (art. 22)</w:t>
      </w:r>
    </w:p>
    <w:p w:rsidR="001D59F9" w:rsidRDefault="001D59F9" w:rsidP="001D59F9">
      <w:pPr>
        <w:pStyle w:val="Paragrafoelenco"/>
        <w:numPr>
          <w:ilvl w:val="0"/>
          <w:numId w:val="6"/>
        </w:numPr>
        <w:spacing w:after="0" w:line="360" w:lineRule="auto"/>
        <w:rPr>
          <w:rFonts w:ascii="Garamond" w:hAnsi="Garamond"/>
        </w:rPr>
      </w:pPr>
      <w:r w:rsidRPr="001D59F9">
        <w:rPr>
          <w:rFonts w:ascii="Garamond" w:hAnsi="Garamond"/>
        </w:rPr>
        <w:t xml:space="preserve">Enti pubblici vigilati. </w:t>
      </w:r>
      <w:r w:rsidR="00650DA5">
        <w:rPr>
          <w:rFonts w:ascii="Garamond" w:hAnsi="Garamond"/>
        </w:rPr>
        <w:t xml:space="preserve">Dal colloquio con il responsabile delle partecipate emerge la presenza della partecipazione nel </w:t>
      </w:r>
      <w:proofErr w:type="spellStart"/>
      <w:r w:rsidR="00650DA5">
        <w:rPr>
          <w:rFonts w:ascii="Garamond" w:hAnsi="Garamond"/>
        </w:rPr>
        <w:t>Copross</w:t>
      </w:r>
      <w:proofErr w:type="spellEnd"/>
      <w:r w:rsidR="00650DA5">
        <w:rPr>
          <w:rFonts w:ascii="Garamond" w:hAnsi="Garamond"/>
        </w:rPr>
        <w:t xml:space="preserve"> che deve essere definita nella sezione.</w:t>
      </w:r>
    </w:p>
    <w:p w:rsidR="001D59F9" w:rsidRDefault="001D59F9" w:rsidP="001D59F9">
      <w:pPr>
        <w:pStyle w:val="Paragrafoelenco"/>
        <w:numPr>
          <w:ilvl w:val="0"/>
          <w:numId w:val="6"/>
        </w:numPr>
        <w:spacing w:after="0" w:line="360" w:lineRule="auto"/>
        <w:rPr>
          <w:rFonts w:ascii="Garamond" w:hAnsi="Garamond"/>
        </w:rPr>
      </w:pPr>
      <w:r>
        <w:rPr>
          <w:rFonts w:ascii="Garamond" w:hAnsi="Garamond"/>
        </w:rPr>
        <w:t xml:space="preserve">Enti di diritto privato controllati. </w:t>
      </w:r>
      <w:r w:rsidR="00650DA5">
        <w:rPr>
          <w:rFonts w:ascii="Garamond" w:hAnsi="Garamond"/>
        </w:rPr>
        <w:t>Dal colloquio con il responsabile delle partecipate emerge la presenza della partecipazione nella Fondazione una casa per Rino e Fondazione Siciliani che devono essere definite nella sezione</w:t>
      </w:r>
      <w:r>
        <w:rPr>
          <w:rFonts w:ascii="Garamond" w:hAnsi="Garamond"/>
        </w:rPr>
        <w:t>;</w:t>
      </w:r>
    </w:p>
    <w:p w:rsidR="00B432C5" w:rsidRPr="00B432C5" w:rsidRDefault="00B432C5" w:rsidP="00B432C5">
      <w:pPr>
        <w:spacing w:after="0" w:line="360" w:lineRule="auto"/>
        <w:rPr>
          <w:rFonts w:ascii="Garamond" w:hAnsi="Garamond"/>
          <w:b/>
        </w:rPr>
      </w:pPr>
      <w:r w:rsidRPr="00B432C5">
        <w:rPr>
          <w:rFonts w:ascii="Garamond" w:hAnsi="Garamond"/>
          <w:b/>
        </w:rPr>
        <w:t>Pagamenti dell'amministrazione (artt. 4-bis, 33, 41, co. 1-bis per amministrazioni e enti del servizio sanitario)</w:t>
      </w:r>
    </w:p>
    <w:p w:rsidR="001D59F9" w:rsidRDefault="001D59F9" w:rsidP="001D59F9">
      <w:pPr>
        <w:pStyle w:val="Paragrafoelenco"/>
        <w:numPr>
          <w:ilvl w:val="0"/>
          <w:numId w:val="6"/>
        </w:numPr>
        <w:spacing w:after="0" w:line="360" w:lineRule="auto"/>
        <w:rPr>
          <w:rFonts w:ascii="Garamond" w:hAnsi="Garamond"/>
        </w:rPr>
      </w:pPr>
      <w:r>
        <w:rPr>
          <w:rFonts w:ascii="Garamond" w:hAnsi="Garamond"/>
        </w:rPr>
        <w:t xml:space="preserve">Dati sui </w:t>
      </w:r>
      <w:r w:rsidR="00B432C5">
        <w:rPr>
          <w:rFonts w:ascii="Garamond" w:hAnsi="Garamond"/>
        </w:rPr>
        <w:t>pagamenti in tabella</w:t>
      </w:r>
      <w:r w:rsidR="0007221C">
        <w:rPr>
          <w:rFonts w:ascii="Garamond" w:hAnsi="Garamond"/>
        </w:rPr>
        <w:t>;</w:t>
      </w:r>
    </w:p>
    <w:p w:rsidR="00650DA5" w:rsidRDefault="00650DA5" w:rsidP="001D59F9">
      <w:pPr>
        <w:pStyle w:val="Paragrafoelenco"/>
        <w:numPr>
          <w:ilvl w:val="0"/>
          <w:numId w:val="6"/>
        </w:numPr>
        <w:spacing w:after="0" w:line="360" w:lineRule="auto"/>
        <w:rPr>
          <w:rFonts w:ascii="Garamond" w:hAnsi="Garamond"/>
        </w:rPr>
      </w:pPr>
      <w:r>
        <w:rPr>
          <w:rFonts w:ascii="Garamond" w:hAnsi="Garamond"/>
        </w:rPr>
        <w:t>Indicatore dei tempi medi dei pagamenti annuale e del IV trimestre 2021 e I Trimestre 2022;</w:t>
      </w:r>
    </w:p>
    <w:p w:rsidR="00B432C5" w:rsidRDefault="00B432C5" w:rsidP="001D59F9">
      <w:pPr>
        <w:pStyle w:val="Paragrafoelenco"/>
        <w:numPr>
          <w:ilvl w:val="0"/>
          <w:numId w:val="6"/>
        </w:numPr>
        <w:spacing w:after="0" w:line="360" w:lineRule="auto"/>
        <w:rPr>
          <w:rFonts w:ascii="Garamond" w:hAnsi="Garamond"/>
        </w:rPr>
      </w:pPr>
      <w:r>
        <w:rPr>
          <w:rFonts w:ascii="Garamond" w:hAnsi="Garamond"/>
        </w:rPr>
        <w:t>Ammontare complessivo dei debiti e il numero delle imprese creditrici;</w:t>
      </w:r>
    </w:p>
    <w:p w:rsidR="00B432C5" w:rsidRDefault="0007221C" w:rsidP="0007221C">
      <w:pPr>
        <w:spacing w:after="0" w:line="360" w:lineRule="auto"/>
        <w:rPr>
          <w:rFonts w:ascii="Garamond" w:hAnsi="Garamond"/>
          <w:b/>
        </w:rPr>
      </w:pPr>
      <w:r w:rsidRPr="0007221C">
        <w:rPr>
          <w:rFonts w:ascii="Garamond" w:hAnsi="Garamond"/>
          <w:b/>
        </w:rPr>
        <w:lastRenderedPageBreak/>
        <w:t>Pianificazione e governo del territorio (art. 39)</w:t>
      </w:r>
    </w:p>
    <w:p w:rsidR="007E3726" w:rsidRDefault="007E3726" w:rsidP="007E3726">
      <w:pPr>
        <w:pStyle w:val="Paragrafoelenco"/>
        <w:numPr>
          <w:ilvl w:val="0"/>
          <w:numId w:val="6"/>
        </w:numPr>
        <w:spacing w:after="0" w:line="360" w:lineRule="auto"/>
        <w:rPr>
          <w:rFonts w:ascii="Garamond" w:hAnsi="Garamond"/>
        </w:rPr>
      </w:pPr>
      <w:r w:rsidRPr="007E3726">
        <w:rPr>
          <w:rFonts w:ascii="Garamond" w:hAnsi="Garamond"/>
        </w:rPr>
        <w:t xml:space="preserve">Atti di governo del territorio quali, tra gli altri, piani territoriali, piani di coordinamento, piani paesaggistici, strumenti urbanistici, generali e di attuazione, </w:t>
      </w:r>
      <w:r w:rsidR="0098093C" w:rsidRPr="007E3726">
        <w:rPr>
          <w:rFonts w:ascii="Garamond" w:hAnsi="Garamond"/>
        </w:rPr>
        <w:t>nonché</w:t>
      </w:r>
      <w:r w:rsidRPr="007E3726">
        <w:rPr>
          <w:rFonts w:ascii="Garamond" w:hAnsi="Garamond"/>
        </w:rPr>
        <w:t xml:space="preserve"> le loro varianti, non presenti;</w:t>
      </w:r>
    </w:p>
    <w:p w:rsidR="0007221C" w:rsidRPr="007E3726" w:rsidRDefault="007E3726" w:rsidP="007E3726">
      <w:pPr>
        <w:pStyle w:val="Paragrafoelenco"/>
        <w:numPr>
          <w:ilvl w:val="0"/>
          <w:numId w:val="6"/>
        </w:numPr>
        <w:spacing w:after="0" w:line="360" w:lineRule="auto"/>
        <w:rPr>
          <w:rFonts w:ascii="Garamond" w:hAnsi="Garamond"/>
        </w:rPr>
      </w:pPr>
      <w:r w:rsidRPr="007E3726">
        <w:rPr>
          <w:rFonts w:ascii="Garamond" w:hAnsi="Garamond"/>
        </w:rPr>
        <w:t xml:space="preserve">Documentazione relativa a ciascun procedimento di presentazione e approvazione delle proposte di trasformazione urbanistica di iniziativa privata o pubblica in variante allo strumento urbanistico generale comunque denominato vigente </w:t>
      </w:r>
      <w:r w:rsidR="0098093C" w:rsidRPr="007E3726">
        <w:rPr>
          <w:rFonts w:ascii="Garamond" w:hAnsi="Garamond"/>
        </w:rPr>
        <w:t>nonché</w:t>
      </w:r>
      <w:r w:rsidRPr="007E3726">
        <w:rPr>
          <w:rFonts w:ascii="Garamond" w:hAnsi="Garamond"/>
        </w:rPr>
        <w:t xml:space="preserve">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 , non presenti;</w:t>
      </w:r>
    </w:p>
    <w:p w:rsidR="002B6CCC" w:rsidRDefault="002B6CCC" w:rsidP="002B6CCC">
      <w:pPr>
        <w:spacing w:after="0" w:line="360" w:lineRule="auto"/>
        <w:rPr>
          <w:rFonts w:ascii="Garamond" w:hAnsi="Garamond"/>
        </w:rPr>
      </w:pPr>
      <w:r>
        <w:rPr>
          <w:rFonts w:ascii="Garamond" w:hAnsi="Garamond"/>
        </w:rPr>
        <w:t>Risulta non applicabile per l’anno 202</w:t>
      </w:r>
      <w:r w:rsidR="0007221C">
        <w:rPr>
          <w:rFonts w:ascii="Garamond" w:hAnsi="Garamond"/>
        </w:rPr>
        <w:t>1</w:t>
      </w:r>
      <w:r>
        <w:rPr>
          <w:rFonts w:ascii="Garamond" w:hAnsi="Garamond"/>
        </w:rPr>
        <w:t>:</w:t>
      </w:r>
    </w:p>
    <w:p w:rsidR="002B6CCC" w:rsidRDefault="002B6CCC" w:rsidP="002B6CCC">
      <w:pPr>
        <w:spacing w:after="0" w:line="360" w:lineRule="auto"/>
        <w:rPr>
          <w:rFonts w:ascii="Garamond" w:hAnsi="Garamond"/>
        </w:rPr>
      </w:pPr>
      <w:r w:rsidRPr="00AD1CA2">
        <w:rPr>
          <w:rFonts w:ascii="Garamond" w:hAnsi="Garamond"/>
        </w:rPr>
        <w:t xml:space="preserve">- </w:t>
      </w:r>
      <w:r w:rsidR="0007221C">
        <w:rPr>
          <w:rFonts w:ascii="Garamond" w:hAnsi="Garamond"/>
        </w:rPr>
        <w:t>Dati sui pagamenti del Servizio Sanitario Nazionale, in quanto non applicabile alle province</w:t>
      </w:r>
      <w:r>
        <w:rPr>
          <w:rFonts w:ascii="Garamond" w:hAnsi="Garamond"/>
        </w:rPr>
        <w:t>;</w:t>
      </w:r>
    </w:p>
    <w:p w:rsidR="0007221C" w:rsidRDefault="0007221C" w:rsidP="0007221C">
      <w:pPr>
        <w:spacing w:after="0" w:line="360" w:lineRule="auto"/>
        <w:rPr>
          <w:rFonts w:ascii="Garamond" w:hAnsi="Garamond"/>
        </w:rPr>
      </w:pPr>
      <w:r>
        <w:rPr>
          <w:rFonts w:ascii="Garamond" w:hAnsi="Garamond"/>
        </w:rPr>
        <w:t xml:space="preserve">- </w:t>
      </w:r>
      <w:r w:rsidRPr="0007221C">
        <w:rPr>
          <w:rFonts w:ascii="Garamond" w:hAnsi="Garamond"/>
        </w:rPr>
        <w:t>Interventi straordinari e di emergenza (art. 42) con esclusivo riferimento alla pubblicazione</w:t>
      </w:r>
      <w:r>
        <w:rPr>
          <w:rFonts w:ascii="Garamond" w:hAnsi="Garamond"/>
        </w:rPr>
        <w:t xml:space="preserve"> </w:t>
      </w:r>
      <w:r w:rsidRPr="0007221C">
        <w:rPr>
          <w:rFonts w:ascii="Garamond" w:hAnsi="Garamond"/>
        </w:rPr>
        <w:t xml:space="preserve">del Rendiconto della raccolta fondi a sostegno del contrasto all’emergenza epidemiologica da Covid-19, (art. 99, co. 5, </w:t>
      </w:r>
      <w:proofErr w:type="spellStart"/>
      <w:r w:rsidRPr="0007221C">
        <w:rPr>
          <w:rFonts w:ascii="Garamond" w:hAnsi="Garamond"/>
        </w:rPr>
        <w:t>d.l.</w:t>
      </w:r>
      <w:proofErr w:type="spellEnd"/>
      <w:r w:rsidRPr="0007221C">
        <w:rPr>
          <w:rFonts w:ascii="Garamond" w:hAnsi="Garamond"/>
        </w:rPr>
        <w:t xml:space="preserve"> 18/2020)</w:t>
      </w:r>
      <w:r>
        <w:rPr>
          <w:rFonts w:ascii="Garamond" w:hAnsi="Garamond"/>
        </w:rPr>
        <w:t>, in quanto non effettuata;</w:t>
      </w:r>
    </w:p>
    <w:p w:rsidR="0007221C" w:rsidRDefault="0007221C" w:rsidP="0007221C">
      <w:pPr>
        <w:spacing w:after="0" w:line="360" w:lineRule="auto"/>
        <w:rPr>
          <w:rFonts w:ascii="Garamond" w:hAnsi="Garamond"/>
        </w:rPr>
      </w:pPr>
      <w:r>
        <w:rPr>
          <w:rFonts w:ascii="Garamond" w:hAnsi="Garamond"/>
        </w:rPr>
        <w:t>- Regolamenti per la prevenzione e la repressione della corruzione e dell’illegalità, in quanto non adottati;</w:t>
      </w:r>
    </w:p>
    <w:p w:rsidR="0007221C" w:rsidRDefault="0007221C" w:rsidP="0007221C">
      <w:pPr>
        <w:spacing w:after="0" w:line="360" w:lineRule="auto"/>
        <w:rPr>
          <w:rFonts w:ascii="Garamond" w:hAnsi="Garamond"/>
        </w:rPr>
      </w:pPr>
      <w:r>
        <w:rPr>
          <w:rFonts w:ascii="Garamond" w:hAnsi="Garamond"/>
        </w:rPr>
        <w:t>- Provvedimenti ado</w:t>
      </w:r>
      <w:r w:rsidR="007E3726">
        <w:rPr>
          <w:rFonts w:ascii="Garamond" w:hAnsi="Garamond"/>
        </w:rPr>
        <w:t>tta</w:t>
      </w:r>
      <w:r>
        <w:rPr>
          <w:rFonts w:ascii="Garamond" w:hAnsi="Garamond"/>
        </w:rPr>
        <w:t xml:space="preserve">ti dall’ANAC </w:t>
      </w:r>
      <w:r w:rsidR="007E3726">
        <w:rPr>
          <w:rFonts w:ascii="Garamond" w:hAnsi="Garamond"/>
        </w:rPr>
        <w:t>ed atti di adeguamento a tali provvedimenti in materia di vigilanza e controllo dell’anticorruzione, in quanto non pervenuti;</w:t>
      </w:r>
    </w:p>
    <w:p w:rsidR="007E3726" w:rsidRDefault="007E3726" w:rsidP="0007221C">
      <w:pPr>
        <w:spacing w:after="0" w:line="360" w:lineRule="auto"/>
        <w:rPr>
          <w:rFonts w:ascii="Garamond" w:hAnsi="Garamond"/>
        </w:rPr>
      </w:pPr>
      <w:r>
        <w:rPr>
          <w:rFonts w:ascii="Garamond" w:hAnsi="Garamond"/>
        </w:rPr>
        <w:t xml:space="preserve">- Atti di accertamento delle violazioni delle disposizioni di cui al D. </w:t>
      </w:r>
      <w:proofErr w:type="spellStart"/>
      <w:r>
        <w:rPr>
          <w:rFonts w:ascii="Garamond" w:hAnsi="Garamond"/>
        </w:rPr>
        <w:t>Lgs</w:t>
      </w:r>
      <w:proofErr w:type="spellEnd"/>
      <w:r>
        <w:rPr>
          <w:rFonts w:ascii="Garamond" w:hAnsi="Garamond"/>
        </w:rPr>
        <w:t xml:space="preserve"> n. 39/2013, in quanto non presenti.</w:t>
      </w:r>
    </w:p>
    <w:p w:rsidR="001D5533" w:rsidRPr="001D5533" w:rsidRDefault="001D5533" w:rsidP="001D5533">
      <w:pPr>
        <w:spacing w:after="0" w:line="360" w:lineRule="auto"/>
        <w:rPr>
          <w:rFonts w:ascii="Garamond" w:hAnsi="Garamond"/>
        </w:rPr>
      </w:pPr>
      <w:r w:rsidRPr="001D5533">
        <w:rPr>
          <w:rFonts w:ascii="Garamond" w:hAnsi="Garamond"/>
        </w:rPr>
        <w:t>Il Nucleo di Valutazione, che ha evidenziato nella griglia di rilevazione carenze significative di pubblicazione, attribuendo nella colonna “completezza di contenuto” un valore inferiore a 3, avrà cura di monitorare le misure di adeguamento agli obblighi di pubblicazione adottate dall</w:t>
      </w:r>
      <w:r w:rsidR="007E3726">
        <w:rPr>
          <w:rFonts w:ascii="Garamond" w:hAnsi="Garamond"/>
        </w:rPr>
        <w:t>a</w:t>
      </w:r>
      <w:r w:rsidRPr="001D5533">
        <w:rPr>
          <w:rFonts w:ascii="Garamond" w:hAnsi="Garamond"/>
        </w:rPr>
        <w:t xml:space="preserve"> </w:t>
      </w:r>
      <w:r w:rsidR="007E3726">
        <w:rPr>
          <w:rFonts w:ascii="Garamond" w:hAnsi="Garamond"/>
        </w:rPr>
        <w:t>Provincia</w:t>
      </w:r>
      <w:r w:rsidRPr="001D5533">
        <w:rPr>
          <w:rFonts w:ascii="Garamond" w:hAnsi="Garamond"/>
        </w:rPr>
        <w:t xml:space="preserve">, verificando il permanere o il superamento delle sole criticità esposte nella citata griglia di rilevazione.  </w:t>
      </w:r>
    </w:p>
    <w:p w:rsidR="001D5533" w:rsidRPr="001D5533" w:rsidRDefault="0007221C" w:rsidP="001D5533">
      <w:pPr>
        <w:spacing w:after="0" w:line="360" w:lineRule="auto"/>
        <w:rPr>
          <w:rFonts w:ascii="Garamond" w:hAnsi="Garamond"/>
        </w:rPr>
      </w:pPr>
      <w:r>
        <w:rPr>
          <w:rFonts w:ascii="Garamond" w:hAnsi="Garamond"/>
        </w:rPr>
        <w:t>G</w:t>
      </w:r>
      <w:r w:rsidR="001D5533" w:rsidRPr="001D5533">
        <w:rPr>
          <w:rFonts w:ascii="Garamond" w:hAnsi="Garamond"/>
        </w:rPr>
        <w:t xml:space="preserve">li esiti di questo monitoraggio, </w:t>
      </w:r>
      <w:r>
        <w:rPr>
          <w:rFonts w:ascii="Garamond" w:hAnsi="Garamond"/>
        </w:rPr>
        <w:t xml:space="preserve">saranno annotati </w:t>
      </w:r>
      <w:r w:rsidR="001D5533" w:rsidRPr="001D5533">
        <w:rPr>
          <w:rFonts w:ascii="Garamond" w:hAnsi="Garamond"/>
        </w:rPr>
        <w:t xml:space="preserve">utilizzando un'altra griglia di monitoraggio che l’Autorità renderà disponibile in tempo utile e ad integrazione della presente delibera, aggiornando i valori attribuiti nella colonna “completezza di contenuto”, entro il 31 ottobre 2022,  </w:t>
      </w:r>
    </w:p>
    <w:p w:rsidR="001D5533" w:rsidRPr="001D5533" w:rsidRDefault="001D5533" w:rsidP="001D5533">
      <w:pPr>
        <w:spacing w:after="0" w:line="360" w:lineRule="auto"/>
        <w:rPr>
          <w:rFonts w:ascii="Garamond" w:hAnsi="Garamond"/>
        </w:rPr>
      </w:pPr>
      <w:r w:rsidRPr="001D5533">
        <w:rPr>
          <w:rFonts w:ascii="Garamond" w:hAnsi="Garamond"/>
        </w:rPr>
        <w:t xml:space="preserve">La griglia di monitoraggio è pubblicata nella sezione «Amministrazione trasparente» sotto-sezione di primo livello «Controlli e rilievi sull’amministrazione», sotto-sezione di secondo livello «Organismi indipendenti di valutazione, nuclei di valutazione o altri organismi con funzioni analoghe», «Attestazione dell'OIV o di altra struttura analoga nell’assolvimento degli obblighi di pubblicazione»  entro il 10 novembre 2022.  </w:t>
      </w:r>
    </w:p>
    <w:p w:rsidR="001D5533" w:rsidRPr="00AD1CA2" w:rsidRDefault="001D5533" w:rsidP="001D5533">
      <w:pPr>
        <w:spacing w:after="0" w:line="360" w:lineRule="auto"/>
        <w:rPr>
          <w:rFonts w:ascii="Garamond" w:hAnsi="Garamond"/>
        </w:rPr>
      </w:pPr>
      <w:r w:rsidRPr="001D5533">
        <w:rPr>
          <w:rFonts w:ascii="Garamond" w:hAnsi="Garamond"/>
        </w:rPr>
        <w:t xml:space="preserve">Entro tale data, inoltre, la sola griglia di monitoraggio è trasmessa ad ANAC all’indirizzo di posta </w:t>
      </w:r>
      <w:r w:rsidRPr="001D5533">
        <w:rPr>
          <w:rFonts w:ascii="Garamond" w:hAnsi="Garamond"/>
        </w:rPr>
        <w:lastRenderedPageBreak/>
        <w:t xml:space="preserve">elettronica:  attestazioni.oiv@anticorruzione.it. Sulla base degli esiti di monitoraggio, così acquisiti, le misure assunte dai RPCT potranno essere oggetto di valutazione da parte di ANAC nell’ambito dell’attività di controllo sull’operato dei RPCT di cui all’art. 45, co. 2, del </w:t>
      </w:r>
      <w:proofErr w:type="spellStart"/>
      <w:r w:rsidRPr="001D5533">
        <w:rPr>
          <w:rFonts w:ascii="Garamond" w:hAnsi="Garamond"/>
        </w:rPr>
        <w:t>dlgs</w:t>
      </w:r>
      <w:proofErr w:type="spellEnd"/>
      <w:r w:rsidRPr="001D5533">
        <w:rPr>
          <w:rFonts w:ascii="Garamond" w:hAnsi="Garamond"/>
        </w:rPr>
        <w:t xml:space="preserve"> 33/2013 per le conseguenti determinazioni.</w:t>
      </w:r>
    </w:p>
    <w:p w:rsidR="00C27B23" w:rsidRDefault="0048249A" w:rsidP="002B6CCC">
      <w:pPr>
        <w:spacing w:after="0" w:line="360" w:lineRule="auto"/>
        <w:rPr>
          <w:rFonts w:ascii="Garamond" w:hAnsi="Garamond"/>
          <w:b/>
          <w:i/>
        </w:rPr>
      </w:pPr>
      <w:r w:rsidRPr="009C6FAC">
        <w:rPr>
          <w:rFonts w:ascii="Garamond" w:hAnsi="Garamond"/>
          <w:b/>
          <w:i/>
        </w:rPr>
        <w:t>Eventuale documentazione da allegare</w:t>
      </w:r>
    </w:p>
    <w:p w:rsidR="00710BCA" w:rsidRDefault="00AD1CA2" w:rsidP="002B6CCC">
      <w:pPr>
        <w:spacing w:after="0" w:line="360" w:lineRule="auto"/>
        <w:rPr>
          <w:rFonts w:ascii="Garamond" w:hAnsi="Garamond"/>
        </w:rPr>
      </w:pPr>
      <w:r>
        <w:rPr>
          <w:rFonts w:ascii="Garamond" w:hAnsi="Garamond"/>
        </w:rPr>
        <w:t>Nessuna.</w:t>
      </w:r>
    </w:p>
    <w:p w:rsidR="00710BCA" w:rsidRPr="00983A25" w:rsidRDefault="00710BCA" w:rsidP="002B6CCC">
      <w:pPr>
        <w:pStyle w:val="Corpotesto"/>
        <w:tabs>
          <w:tab w:val="left" w:pos="0"/>
        </w:tabs>
        <w:spacing w:line="360" w:lineRule="auto"/>
        <w:jc w:val="left"/>
        <w:rPr>
          <w:szCs w:val="24"/>
        </w:rPr>
      </w:pPr>
      <w:r w:rsidRPr="00983A25">
        <w:rPr>
          <w:szCs w:val="24"/>
        </w:rPr>
        <w:t xml:space="preserve">Data </w:t>
      </w:r>
      <w:r w:rsidR="0007221C">
        <w:rPr>
          <w:szCs w:val="24"/>
        </w:rPr>
        <w:t>13</w:t>
      </w:r>
      <w:r w:rsidRPr="00983A25">
        <w:rPr>
          <w:szCs w:val="24"/>
        </w:rPr>
        <w:t>/0</w:t>
      </w:r>
      <w:r w:rsidR="00195D3E">
        <w:rPr>
          <w:szCs w:val="24"/>
        </w:rPr>
        <w:t>6</w:t>
      </w:r>
      <w:r w:rsidRPr="00983A25">
        <w:rPr>
          <w:szCs w:val="24"/>
        </w:rPr>
        <w:t>/20</w:t>
      </w:r>
      <w:r w:rsidR="00AD1CA2">
        <w:rPr>
          <w:szCs w:val="24"/>
        </w:rPr>
        <w:t>2</w:t>
      </w:r>
      <w:r w:rsidR="0007221C">
        <w:rPr>
          <w:szCs w:val="24"/>
        </w:rPr>
        <w:t>2</w:t>
      </w:r>
    </w:p>
    <w:p w:rsidR="00710BCA" w:rsidRPr="00983A25" w:rsidRDefault="00710BCA" w:rsidP="002B6CCC">
      <w:pPr>
        <w:pStyle w:val="Corpotesto"/>
        <w:tabs>
          <w:tab w:val="left" w:pos="0"/>
        </w:tabs>
        <w:spacing w:line="360" w:lineRule="auto"/>
        <w:jc w:val="left"/>
        <w:rPr>
          <w:szCs w:val="24"/>
        </w:rPr>
      </w:pPr>
      <w:r w:rsidRPr="00983A25">
        <w:rPr>
          <w:szCs w:val="24"/>
        </w:rPr>
        <w:tab/>
      </w:r>
      <w:r w:rsidRPr="00983A25">
        <w:rPr>
          <w:szCs w:val="24"/>
        </w:rPr>
        <w:tab/>
      </w:r>
      <w:r w:rsidRPr="00983A25">
        <w:rPr>
          <w:szCs w:val="24"/>
        </w:rPr>
        <w:tab/>
      </w:r>
      <w:r w:rsidRPr="00983A25">
        <w:rPr>
          <w:szCs w:val="24"/>
        </w:rPr>
        <w:tab/>
      </w:r>
      <w:r w:rsidRPr="00983A25">
        <w:rPr>
          <w:szCs w:val="24"/>
        </w:rPr>
        <w:tab/>
      </w:r>
      <w:r w:rsidRPr="00983A25">
        <w:rPr>
          <w:szCs w:val="24"/>
        </w:rPr>
        <w:tab/>
      </w:r>
      <w:r w:rsidRPr="00983A25">
        <w:rPr>
          <w:szCs w:val="24"/>
        </w:rPr>
        <w:tab/>
        <w:t>Firma dei componenti Nucleo di Valutazione</w:t>
      </w:r>
    </w:p>
    <w:p w:rsidR="007E3726" w:rsidRDefault="007E3726" w:rsidP="00AD1CA2">
      <w:pPr>
        <w:pStyle w:val="Corpotesto"/>
        <w:tabs>
          <w:tab w:val="left" w:pos="0"/>
        </w:tabs>
        <w:spacing w:line="360" w:lineRule="auto"/>
        <w:ind w:left="4956"/>
        <w:jc w:val="left"/>
        <w:rPr>
          <w:szCs w:val="24"/>
        </w:rPr>
      </w:pPr>
    </w:p>
    <w:p w:rsidR="00AD1CA2" w:rsidRDefault="00263A24" w:rsidP="00AD1CA2">
      <w:pPr>
        <w:pStyle w:val="Corpotesto"/>
        <w:tabs>
          <w:tab w:val="left" w:pos="0"/>
        </w:tabs>
        <w:spacing w:line="360" w:lineRule="auto"/>
        <w:ind w:left="4956"/>
        <w:jc w:val="left"/>
        <w:rPr>
          <w:szCs w:val="24"/>
        </w:rPr>
      </w:pPr>
      <w:r>
        <w:rPr>
          <w:szCs w:val="24"/>
        </w:rPr>
        <w:t xml:space="preserve">F.to </w:t>
      </w:r>
      <w:r w:rsidR="00AD1CA2" w:rsidRPr="00983A25">
        <w:rPr>
          <w:szCs w:val="24"/>
        </w:rPr>
        <w:t>Salvatore Poerio</w:t>
      </w:r>
      <w:r w:rsidR="00AD1CA2">
        <w:rPr>
          <w:szCs w:val="24"/>
        </w:rPr>
        <w:t xml:space="preserve"> …………………………</w:t>
      </w:r>
    </w:p>
    <w:p w:rsidR="007E3726" w:rsidRDefault="007E3726" w:rsidP="00AD1CA2">
      <w:pPr>
        <w:pStyle w:val="Corpotesto"/>
        <w:tabs>
          <w:tab w:val="left" w:pos="0"/>
        </w:tabs>
        <w:spacing w:line="360" w:lineRule="auto"/>
        <w:ind w:left="4956"/>
        <w:jc w:val="left"/>
        <w:rPr>
          <w:szCs w:val="24"/>
        </w:rPr>
      </w:pPr>
    </w:p>
    <w:p w:rsidR="00710BCA" w:rsidRDefault="00263A24" w:rsidP="00AD1CA2">
      <w:pPr>
        <w:pStyle w:val="Corpotesto"/>
        <w:tabs>
          <w:tab w:val="left" w:pos="0"/>
        </w:tabs>
        <w:spacing w:line="360" w:lineRule="auto"/>
        <w:ind w:left="4956"/>
        <w:jc w:val="left"/>
        <w:rPr>
          <w:szCs w:val="24"/>
        </w:rPr>
      </w:pPr>
      <w:r>
        <w:rPr>
          <w:szCs w:val="24"/>
        </w:rPr>
        <w:t xml:space="preserve">F.to </w:t>
      </w:r>
      <w:r w:rsidR="00710BCA" w:rsidRPr="00983A25">
        <w:rPr>
          <w:szCs w:val="24"/>
        </w:rPr>
        <w:t>Salvatore Scalise</w:t>
      </w:r>
      <w:r w:rsidR="00710BCA">
        <w:rPr>
          <w:szCs w:val="24"/>
        </w:rPr>
        <w:t xml:space="preserve"> …………………………</w:t>
      </w:r>
    </w:p>
    <w:p w:rsidR="007E3726" w:rsidRPr="00983A25" w:rsidRDefault="007E3726" w:rsidP="00AD1CA2">
      <w:pPr>
        <w:pStyle w:val="Corpotesto"/>
        <w:tabs>
          <w:tab w:val="left" w:pos="0"/>
        </w:tabs>
        <w:spacing w:line="360" w:lineRule="auto"/>
        <w:ind w:left="4956"/>
        <w:jc w:val="left"/>
        <w:rPr>
          <w:szCs w:val="24"/>
        </w:rPr>
      </w:pPr>
    </w:p>
    <w:p w:rsidR="00710BCA" w:rsidRPr="009C6FAC" w:rsidRDefault="00263A24" w:rsidP="00710BCA">
      <w:pPr>
        <w:spacing w:line="360" w:lineRule="auto"/>
        <w:ind w:left="4248" w:firstLine="708"/>
        <w:rPr>
          <w:rFonts w:ascii="Garamond" w:hAnsi="Garamond"/>
          <w:b/>
          <w:i/>
        </w:rPr>
      </w:pPr>
      <w:r>
        <w:t xml:space="preserve">F.to </w:t>
      </w:r>
      <w:r w:rsidR="00AD1CA2">
        <w:t xml:space="preserve">Laura Maria </w:t>
      </w:r>
      <w:proofErr w:type="spellStart"/>
      <w:r w:rsidR="00AD1CA2">
        <w:t>Lodari</w:t>
      </w:r>
      <w:proofErr w:type="spellEnd"/>
      <w:r w:rsidR="004A4EEF">
        <w:t xml:space="preserve"> …………</w:t>
      </w:r>
      <w:r w:rsidR="00710BCA">
        <w:t>……………</w:t>
      </w:r>
    </w:p>
    <w:p w:rsidR="00710BCA" w:rsidRPr="00710BCA" w:rsidRDefault="00710BCA" w:rsidP="00710BCA">
      <w:pPr>
        <w:rPr>
          <w:rFonts w:ascii="Garamond" w:hAnsi="Garamond"/>
        </w:rPr>
      </w:pPr>
      <w:bookmarkStart w:id="0" w:name="_GoBack"/>
      <w:bookmarkEnd w:id="0"/>
    </w:p>
    <w:sectPr w:rsidR="00710BCA" w:rsidRPr="00710BCA" w:rsidSect="00CA1A91">
      <w:headerReference w:type="default" r:id="rId10"/>
      <w:footerReference w:type="default" r:id="rId11"/>
      <w:pgSz w:w="11906" w:h="16838"/>
      <w:pgMar w:top="1701" w:right="1134" w:bottom="993"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7D" w:rsidRDefault="008D2B7D">
      <w:pPr>
        <w:spacing w:after="0" w:line="240" w:lineRule="auto"/>
      </w:pPr>
      <w:r>
        <w:separator/>
      </w:r>
    </w:p>
  </w:endnote>
  <w:endnote w:type="continuationSeparator" w:id="0">
    <w:p w:rsidR="008D2B7D" w:rsidRDefault="008D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680"/>
      <w:docPartObj>
        <w:docPartGallery w:val="Page Numbers (Bottom of Page)"/>
        <w:docPartUnique/>
      </w:docPartObj>
    </w:sdtPr>
    <w:sdtEndPr/>
    <w:sdtContent>
      <w:p w:rsidR="007E3726" w:rsidRDefault="007E3726">
        <w:pPr>
          <w:pStyle w:val="Pidipagina"/>
          <w:jc w:val="center"/>
        </w:pPr>
        <w:r>
          <w:fldChar w:fldCharType="begin"/>
        </w:r>
        <w:r>
          <w:instrText>PAGE   \* MERGEFORMAT</w:instrText>
        </w:r>
        <w:r>
          <w:fldChar w:fldCharType="separate"/>
        </w:r>
        <w:r w:rsidR="00263A24">
          <w:rPr>
            <w:noProof/>
          </w:rPr>
          <w:t>3</w:t>
        </w:r>
        <w:r>
          <w:fldChar w:fldCharType="end"/>
        </w:r>
      </w:p>
    </w:sdtContent>
  </w:sdt>
  <w:p w:rsidR="007E3726" w:rsidRDefault="007E37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7D" w:rsidRDefault="008D2B7D">
      <w:pPr>
        <w:spacing w:after="0" w:line="240" w:lineRule="auto"/>
      </w:pPr>
      <w:r>
        <w:separator/>
      </w:r>
    </w:p>
  </w:footnote>
  <w:footnote w:type="continuationSeparator" w:id="0">
    <w:p w:rsidR="008D2B7D" w:rsidRDefault="008D2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76" w:rsidRDefault="00CB1D76" w:rsidP="00CB1D76">
    <w:pPr>
      <w:pStyle w:val="Intestazione"/>
      <w:jc w:val="right"/>
      <w:rPr>
        <w:rFonts w:ascii="Garamond" w:hAnsi="Garamond"/>
        <w:b/>
      </w:rPr>
    </w:pPr>
    <w:r>
      <w:rPr>
        <w:noProof/>
        <w:lang w:eastAsia="it-IT"/>
      </w:rPr>
      <w:drawing>
        <wp:anchor distT="0" distB="0" distL="114300" distR="114300" simplePos="0" relativeHeight="251659264" behindDoc="0" locked="0" layoutInCell="1" allowOverlap="1" wp14:anchorId="3D12E8AC" wp14:editId="1974F4FD">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D76" w:rsidRDefault="00CB1D76" w:rsidP="00CB1D76">
    <w:pPr>
      <w:pStyle w:val="Intestazione"/>
      <w:jc w:val="right"/>
      <w:rPr>
        <w:rFonts w:ascii="Garamond" w:hAnsi="Garamond"/>
        <w:b/>
      </w:rPr>
    </w:pPr>
  </w:p>
  <w:p w:rsidR="001D59F9" w:rsidRPr="000F2C0E" w:rsidRDefault="001D59F9" w:rsidP="001D59F9">
    <w:pPr>
      <w:pStyle w:val="Intestazione"/>
      <w:jc w:val="right"/>
      <w:rPr>
        <w:rFonts w:ascii="Titillium" w:hAnsi="Titillium" w:cs="Times New Roman"/>
        <w:b/>
        <w:sz w:val="20"/>
        <w:szCs w:val="20"/>
      </w:rPr>
    </w:pPr>
    <w:r>
      <w:rPr>
        <w:rFonts w:ascii="Garamond" w:hAnsi="Garamond"/>
        <w:b/>
      </w:rPr>
      <w:tab/>
    </w:r>
    <w:r w:rsidR="00830728">
      <w:rPr>
        <w:rFonts w:ascii="Garamond" w:hAnsi="Garamond"/>
        <w:b/>
      </w:rPr>
      <w:tab/>
    </w:r>
    <w:r w:rsidRPr="000F2C0E">
      <w:rPr>
        <w:rFonts w:ascii="Titillium" w:hAnsi="Titillium"/>
        <w:b/>
        <w:sz w:val="20"/>
        <w:szCs w:val="20"/>
      </w:rPr>
      <w:t xml:space="preserve">Allegato 3 alla </w:t>
    </w:r>
    <w:r w:rsidRPr="000F2C0E">
      <w:rPr>
        <w:rFonts w:ascii="Titillium" w:hAnsi="Titillium" w:cs="Times New Roman"/>
        <w:b/>
        <w:sz w:val="20"/>
        <w:szCs w:val="20"/>
      </w:rPr>
      <w:t xml:space="preserve">delibera ANAC n. </w:t>
    </w:r>
    <w:r>
      <w:rPr>
        <w:rFonts w:ascii="Titillium" w:hAnsi="Titillium" w:cs="Times New Roman"/>
        <w:b/>
        <w:sz w:val="20"/>
        <w:szCs w:val="20"/>
      </w:rPr>
      <w:t>201</w:t>
    </w:r>
    <w:r w:rsidRPr="000F2C0E">
      <w:rPr>
        <w:rFonts w:ascii="Titillium" w:hAnsi="Titillium" w:cs="Times New Roman"/>
        <w:b/>
        <w:sz w:val="20"/>
        <w:szCs w:val="20"/>
      </w:rPr>
      <w:t>/202</w:t>
    </w:r>
    <w:r>
      <w:rPr>
        <w:rFonts w:ascii="Titillium" w:hAnsi="Titillium" w:cs="Times New Roman"/>
        <w:b/>
        <w:sz w:val="20"/>
        <w:szCs w:val="20"/>
      </w:rPr>
      <w:t>2</w:t>
    </w:r>
  </w:p>
  <w:p w:rsidR="00C27B23" w:rsidRPr="00830728" w:rsidRDefault="00C27B23" w:rsidP="00830728">
    <w:pPr>
      <w:pStyle w:val="Intestazione"/>
      <w:tabs>
        <w:tab w:val="left" w:pos="3878"/>
      </w:tabs>
      <w:rPr>
        <w:rFonts w:ascii="Titillium" w:hAnsi="Titillium"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3A854ACA"/>
    <w:multiLevelType w:val="hybridMultilevel"/>
    <w:tmpl w:val="B818E6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77B6066"/>
    <w:multiLevelType w:val="hybridMultilevel"/>
    <w:tmpl w:val="F1C4B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6640D3"/>
    <w:multiLevelType w:val="hybridMultilevel"/>
    <w:tmpl w:val="4224BFE4"/>
    <w:lvl w:ilvl="0" w:tplc="87DEDA10">
      <w:start w:val="1"/>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23"/>
    <w:rsid w:val="0007221C"/>
    <w:rsid w:val="000D49FF"/>
    <w:rsid w:val="00117BC4"/>
    <w:rsid w:val="0016468A"/>
    <w:rsid w:val="00195D3E"/>
    <w:rsid w:val="001D5533"/>
    <w:rsid w:val="001D59F9"/>
    <w:rsid w:val="00225B06"/>
    <w:rsid w:val="0024134D"/>
    <w:rsid w:val="00263A24"/>
    <w:rsid w:val="002B6CCC"/>
    <w:rsid w:val="002C572E"/>
    <w:rsid w:val="00391F23"/>
    <w:rsid w:val="003E1CF5"/>
    <w:rsid w:val="0048249A"/>
    <w:rsid w:val="004833D5"/>
    <w:rsid w:val="004A4EEF"/>
    <w:rsid w:val="004F18CD"/>
    <w:rsid w:val="005862F1"/>
    <w:rsid w:val="0060106A"/>
    <w:rsid w:val="00650DA5"/>
    <w:rsid w:val="006D5F68"/>
    <w:rsid w:val="006E496C"/>
    <w:rsid w:val="007052EA"/>
    <w:rsid w:val="00710BCA"/>
    <w:rsid w:val="00713BFD"/>
    <w:rsid w:val="007A107C"/>
    <w:rsid w:val="007E3726"/>
    <w:rsid w:val="00830728"/>
    <w:rsid w:val="00837860"/>
    <w:rsid w:val="00861FE1"/>
    <w:rsid w:val="008A0378"/>
    <w:rsid w:val="008D2B7D"/>
    <w:rsid w:val="008F052A"/>
    <w:rsid w:val="00955140"/>
    <w:rsid w:val="0098093C"/>
    <w:rsid w:val="009A5646"/>
    <w:rsid w:val="009C05D1"/>
    <w:rsid w:val="009C6FAC"/>
    <w:rsid w:val="00A52DF7"/>
    <w:rsid w:val="00AD1CA2"/>
    <w:rsid w:val="00AF790D"/>
    <w:rsid w:val="00B15FB0"/>
    <w:rsid w:val="00B432C5"/>
    <w:rsid w:val="00C27B23"/>
    <w:rsid w:val="00C32BE7"/>
    <w:rsid w:val="00CA1A91"/>
    <w:rsid w:val="00CB1D76"/>
    <w:rsid w:val="00D27496"/>
    <w:rsid w:val="00D40BF0"/>
    <w:rsid w:val="00DA4EE0"/>
    <w:rsid w:val="00DD7F43"/>
    <w:rsid w:val="00E34581"/>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uiPriority w:val="99"/>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uiPriority w:val="99"/>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character" w:styleId="Collegamentoipertestuale">
    <w:name w:val="Hyperlink"/>
    <w:basedOn w:val="Carpredefinitoparagrafo"/>
    <w:uiPriority w:val="99"/>
    <w:unhideWhenUsed/>
    <w:rsid w:val="006D5F68"/>
    <w:rPr>
      <w:color w:val="0000FF" w:themeColor="hyperlink"/>
      <w:u w:val="single"/>
    </w:rPr>
  </w:style>
  <w:style w:type="paragraph" w:styleId="Corpotesto">
    <w:name w:val="Body Text"/>
    <w:basedOn w:val="Normale"/>
    <w:link w:val="CorpotestoCarattere"/>
    <w:rsid w:val="00710BCA"/>
    <w:pPr>
      <w:keepNext w:val="0"/>
      <w:widowControl/>
      <w:pBdr>
        <w:top w:val="none" w:sz="0" w:space="0" w:color="auto"/>
        <w:left w:val="none" w:sz="0" w:space="0" w:color="auto"/>
        <w:bottom w:val="none" w:sz="0" w:space="0" w:color="auto"/>
        <w:right w:val="none" w:sz="0" w:space="0" w:color="auto"/>
      </w:pBdr>
      <w:suppressAutoHyphens w:val="0"/>
      <w:spacing w:after="0" w:line="240" w:lineRule="auto"/>
    </w:pPr>
    <w:rPr>
      <w:rFonts w:cs="Times New Roman"/>
      <w:color w:val="000000"/>
      <w:szCs w:val="20"/>
      <w:lang w:eastAsia="it-IT"/>
    </w:rPr>
  </w:style>
  <w:style w:type="character" w:customStyle="1" w:styleId="CorpotestoCarattere">
    <w:name w:val="Corpo testo Carattere"/>
    <w:basedOn w:val="Carpredefinitoparagrafo"/>
    <w:link w:val="Corpotesto"/>
    <w:rsid w:val="00710BCA"/>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uiPriority w:val="99"/>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uiPriority w:val="99"/>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character" w:styleId="Collegamentoipertestuale">
    <w:name w:val="Hyperlink"/>
    <w:basedOn w:val="Carpredefinitoparagrafo"/>
    <w:uiPriority w:val="99"/>
    <w:unhideWhenUsed/>
    <w:rsid w:val="006D5F68"/>
    <w:rPr>
      <w:color w:val="0000FF" w:themeColor="hyperlink"/>
      <w:u w:val="single"/>
    </w:rPr>
  </w:style>
  <w:style w:type="paragraph" w:styleId="Corpotesto">
    <w:name w:val="Body Text"/>
    <w:basedOn w:val="Normale"/>
    <w:link w:val="CorpotestoCarattere"/>
    <w:rsid w:val="00710BCA"/>
    <w:pPr>
      <w:keepNext w:val="0"/>
      <w:widowControl/>
      <w:pBdr>
        <w:top w:val="none" w:sz="0" w:space="0" w:color="auto"/>
        <w:left w:val="none" w:sz="0" w:space="0" w:color="auto"/>
        <w:bottom w:val="none" w:sz="0" w:space="0" w:color="auto"/>
        <w:right w:val="none" w:sz="0" w:space="0" w:color="auto"/>
      </w:pBdr>
      <w:suppressAutoHyphens w:val="0"/>
      <w:spacing w:after="0" w:line="240" w:lineRule="auto"/>
    </w:pPr>
    <w:rPr>
      <w:rFonts w:cs="Times New Roman"/>
      <w:color w:val="000000"/>
      <w:szCs w:val="20"/>
      <w:lang w:eastAsia="it-IT"/>
    </w:rPr>
  </w:style>
  <w:style w:type="character" w:customStyle="1" w:styleId="CorpotestoCarattere">
    <w:name w:val="Corpo testo Carattere"/>
    <w:basedOn w:val="Carpredefinitoparagrafo"/>
    <w:link w:val="Corpotesto"/>
    <w:rsid w:val="00710BC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sparenza.it/id5-Provincia-di-Croton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vinciacrotone.contrasparenza.it/trasparen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846</Words>
  <Characters>4826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Caparra Beniamino</cp:lastModifiedBy>
  <cp:revision>9</cp:revision>
  <cp:lastPrinted>2021-06-25T08:49:00Z</cp:lastPrinted>
  <dcterms:created xsi:type="dcterms:W3CDTF">2022-06-13T10:59:00Z</dcterms:created>
  <dcterms:modified xsi:type="dcterms:W3CDTF">2022-06-14T07:05:00Z</dcterms:modified>
</cp:coreProperties>
</file>